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AE6F0" w14:textId="639E4448" w:rsidR="00456887" w:rsidRPr="004363E3" w:rsidRDefault="00456887" w:rsidP="00456887">
      <w:pPr>
        <w:spacing w:after="0"/>
        <w:rPr>
          <w:rFonts w:ascii="Arial" w:hAnsi="Arial" w:cs="Arial"/>
          <w:b/>
        </w:rPr>
      </w:pPr>
      <w:r w:rsidRPr="004363E3">
        <w:rPr>
          <w:rFonts w:ascii="Arial" w:hAnsi="Arial" w:cs="Arial"/>
          <w:noProof/>
        </w:rPr>
        <w:drawing>
          <wp:anchor distT="0" distB="0" distL="114300" distR="114300" simplePos="0" relativeHeight="251658240" behindDoc="1" locked="0" layoutInCell="1" allowOverlap="1" wp14:anchorId="058B7771" wp14:editId="06E3DB06">
            <wp:simplePos x="0" y="0"/>
            <wp:positionH relativeFrom="column">
              <wp:posOffset>-159026</wp:posOffset>
            </wp:positionH>
            <wp:positionV relativeFrom="paragraph">
              <wp:posOffset>248</wp:posOffset>
            </wp:positionV>
            <wp:extent cx="2145127" cy="638175"/>
            <wp:effectExtent l="0" t="0" r="0" b="0"/>
            <wp:wrapTight wrapText="bothSides">
              <wp:wrapPolygon edited="0">
                <wp:start x="14004" y="2579"/>
                <wp:lineTo x="1918" y="5803"/>
                <wp:lineTo x="1151" y="6448"/>
                <wp:lineTo x="1151" y="15475"/>
                <wp:lineTo x="18224" y="16764"/>
                <wp:lineTo x="18991" y="16764"/>
                <wp:lineTo x="19950" y="14185"/>
                <wp:lineTo x="20334" y="7737"/>
                <wp:lineTo x="19758" y="5803"/>
                <wp:lineTo x="15922" y="2579"/>
                <wp:lineTo x="14004" y="2579"/>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Komatsu\blue logo.jp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145127" cy="638175"/>
                    </a:xfrm>
                    <a:prstGeom prst="rect">
                      <a:avLst/>
                    </a:prstGeom>
                    <a:noFill/>
                    <a:ln>
                      <a:noFill/>
                    </a:ln>
                  </pic:spPr>
                </pic:pic>
              </a:graphicData>
            </a:graphic>
          </wp:anchor>
        </w:drawing>
      </w:r>
      <w:r w:rsidR="003E7CE7" w:rsidRPr="004363E3">
        <w:rPr>
          <w:rFonts w:ascii="Arial" w:hAnsi="Arial" w:cs="Arial"/>
          <w:b/>
        </w:rPr>
        <w:tab/>
      </w:r>
      <w:r w:rsidR="003E7CE7" w:rsidRPr="004363E3">
        <w:rPr>
          <w:rFonts w:ascii="Arial" w:hAnsi="Arial" w:cs="Arial"/>
          <w:b/>
        </w:rPr>
        <w:tab/>
      </w:r>
      <w:r w:rsidR="003E7CE7" w:rsidRPr="004363E3">
        <w:rPr>
          <w:rFonts w:ascii="Arial" w:hAnsi="Arial" w:cs="Arial"/>
          <w:b/>
        </w:rPr>
        <w:tab/>
      </w:r>
      <w:r w:rsidR="003E7CE7" w:rsidRPr="004363E3">
        <w:rPr>
          <w:rFonts w:ascii="Arial" w:hAnsi="Arial" w:cs="Arial"/>
          <w:b/>
        </w:rPr>
        <w:tab/>
      </w:r>
    </w:p>
    <w:p w14:paraId="5BEA6E16" w14:textId="6B85EBAB" w:rsidR="00456887" w:rsidRPr="004363E3" w:rsidRDefault="00456887" w:rsidP="00456887">
      <w:pPr>
        <w:spacing w:after="0"/>
        <w:rPr>
          <w:rFonts w:ascii="Arial" w:hAnsi="Arial" w:cs="Arial"/>
          <w:b/>
        </w:rPr>
      </w:pPr>
    </w:p>
    <w:p w14:paraId="27837865" w14:textId="083F281F" w:rsidR="00456887" w:rsidRPr="004363E3" w:rsidRDefault="00456887" w:rsidP="00FD5FBB">
      <w:pPr>
        <w:spacing w:after="0" w:line="240" w:lineRule="auto"/>
        <w:jc w:val="right"/>
        <w:rPr>
          <w:rFonts w:ascii="Arial" w:hAnsi="Arial" w:cs="Arial"/>
        </w:rPr>
      </w:pPr>
    </w:p>
    <w:p w14:paraId="2124CCD6" w14:textId="44152DA2" w:rsidR="001F6970" w:rsidRPr="004363E3" w:rsidRDefault="001F6970" w:rsidP="00FD5FBB">
      <w:pPr>
        <w:tabs>
          <w:tab w:val="left" w:pos="6210"/>
        </w:tabs>
        <w:spacing w:after="0" w:line="240" w:lineRule="auto"/>
        <w:ind w:right="-450"/>
        <w:jc w:val="right"/>
        <w:rPr>
          <w:rFonts w:ascii="Arial" w:hAnsi="Arial" w:cs="Arial"/>
        </w:rPr>
      </w:pPr>
    </w:p>
    <w:p w14:paraId="0FA60425" w14:textId="77777777" w:rsidR="001E4D1F" w:rsidRPr="0082609C" w:rsidRDefault="001E4D1F" w:rsidP="001E4D1F">
      <w:pPr>
        <w:pStyle w:val="Default"/>
        <w:jc w:val="right"/>
        <w:rPr>
          <w:rFonts w:ascii="Arial" w:eastAsia="Arial" w:hAnsi="Arial" w:cs="Arial"/>
          <w:b/>
          <w:bCs/>
          <w:color w:val="auto"/>
          <w:sz w:val="22"/>
          <w:szCs w:val="22"/>
          <w:lang w:eastAsia="en-US"/>
        </w:rPr>
      </w:pPr>
      <w:r w:rsidRPr="0082609C">
        <w:rPr>
          <w:rFonts w:ascii="Arial" w:eastAsia="Arial" w:hAnsi="Arial" w:cs="Arial"/>
          <w:b/>
          <w:bCs/>
          <w:color w:val="auto"/>
          <w:sz w:val="22"/>
          <w:szCs w:val="22"/>
          <w:lang w:eastAsia="en-US"/>
        </w:rPr>
        <w:t>Media support:</w:t>
      </w:r>
    </w:p>
    <w:p w14:paraId="6EF9BA55" w14:textId="77777777" w:rsidR="001E4D1F" w:rsidRPr="0082609C" w:rsidRDefault="001E4D1F" w:rsidP="001E4D1F">
      <w:pPr>
        <w:pStyle w:val="BodyText"/>
        <w:ind w:right="106"/>
        <w:jc w:val="right"/>
        <w:rPr>
          <w:rFonts w:ascii="Arial" w:hAnsi="Arial" w:cs="Arial"/>
        </w:rPr>
      </w:pPr>
      <w:r w:rsidRPr="0082609C">
        <w:rPr>
          <w:rFonts w:ascii="Arial" w:hAnsi="Arial" w:cs="Arial"/>
        </w:rPr>
        <w:t>Chushu</w:t>
      </w:r>
      <w:r w:rsidRPr="0082609C">
        <w:rPr>
          <w:rFonts w:ascii="Arial" w:hAnsi="Arial" w:cs="Arial"/>
          <w:spacing w:val="-5"/>
        </w:rPr>
        <w:t xml:space="preserve"> Wu</w:t>
      </w:r>
      <w:r w:rsidRPr="0082609C">
        <w:rPr>
          <w:rFonts w:ascii="Arial" w:hAnsi="Arial" w:cs="Arial"/>
          <w:spacing w:val="-5"/>
        </w:rPr>
        <w:br/>
      </w:r>
      <w:r w:rsidRPr="0082609C">
        <w:rPr>
          <w:rFonts w:ascii="Arial" w:hAnsi="Arial" w:cs="Arial"/>
        </w:rPr>
        <w:t>+32</w:t>
      </w:r>
      <w:r w:rsidRPr="0082609C">
        <w:rPr>
          <w:rFonts w:ascii="Arial" w:hAnsi="Arial" w:cs="Arial"/>
          <w:spacing w:val="-2"/>
        </w:rPr>
        <w:t xml:space="preserve"> </w:t>
      </w:r>
      <w:r w:rsidRPr="0082609C">
        <w:rPr>
          <w:rFonts w:ascii="Arial" w:hAnsi="Arial" w:cs="Arial"/>
        </w:rPr>
        <w:t>491</w:t>
      </w:r>
      <w:r w:rsidRPr="0082609C">
        <w:rPr>
          <w:rFonts w:ascii="Arial" w:hAnsi="Arial" w:cs="Arial"/>
          <w:spacing w:val="-3"/>
        </w:rPr>
        <w:t xml:space="preserve"> </w:t>
      </w:r>
      <w:r w:rsidRPr="0082609C">
        <w:rPr>
          <w:rFonts w:ascii="Arial" w:hAnsi="Arial" w:cs="Arial"/>
        </w:rPr>
        <w:t>34</w:t>
      </w:r>
      <w:r w:rsidRPr="0082609C">
        <w:rPr>
          <w:rFonts w:ascii="Arial" w:hAnsi="Arial" w:cs="Arial"/>
          <w:spacing w:val="-1"/>
        </w:rPr>
        <w:t xml:space="preserve"> </w:t>
      </w:r>
      <w:r w:rsidRPr="0082609C">
        <w:rPr>
          <w:rFonts w:ascii="Arial" w:hAnsi="Arial" w:cs="Arial"/>
        </w:rPr>
        <w:t>80</w:t>
      </w:r>
      <w:r w:rsidRPr="0082609C">
        <w:rPr>
          <w:rFonts w:ascii="Arial" w:hAnsi="Arial" w:cs="Arial"/>
          <w:spacing w:val="-3"/>
        </w:rPr>
        <w:t xml:space="preserve"> </w:t>
      </w:r>
      <w:r w:rsidRPr="0082609C">
        <w:rPr>
          <w:rFonts w:ascii="Arial" w:hAnsi="Arial" w:cs="Arial"/>
          <w:spacing w:val="-5"/>
        </w:rPr>
        <w:t>98</w:t>
      </w:r>
      <w:r w:rsidRPr="0082609C">
        <w:rPr>
          <w:rFonts w:ascii="Arial" w:hAnsi="Arial" w:cs="Arial"/>
        </w:rPr>
        <w:br/>
      </w:r>
      <w:hyperlink r:id="rId11" w:history="1">
        <w:r w:rsidRPr="0082609C">
          <w:rPr>
            <w:rStyle w:val="Hyperlink"/>
            <w:rFonts w:ascii="Arial" w:hAnsi="Arial" w:cs="Arial"/>
            <w:spacing w:val="-2"/>
          </w:rPr>
          <w:t>chushu.wu@komatsu.eu</w:t>
        </w:r>
      </w:hyperlink>
    </w:p>
    <w:p w14:paraId="5E2E2CF1" w14:textId="77777777" w:rsidR="002D0D42" w:rsidRPr="004363E3" w:rsidRDefault="002D0D42" w:rsidP="00FD5FBB">
      <w:pPr>
        <w:jc w:val="right"/>
        <w:rPr>
          <w:rFonts w:ascii="Arial" w:hAnsi="Arial" w:cs="Arial"/>
          <w:b/>
          <w:sz w:val="28"/>
          <w:szCs w:val="28"/>
        </w:rPr>
      </w:pPr>
    </w:p>
    <w:p w14:paraId="72FE4FC5" w14:textId="77777777" w:rsidR="002303AF" w:rsidRDefault="002303AF" w:rsidP="00740609">
      <w:pPr>
        <w:pStyle w:val="Subhead"/>
        <w:rPr>
          <w:b/>
          <w:i w:val="0"/>
          <w:sz w:val="28"/>
          <w:szCs w:val="28"/>
        </w:rPr>
      </w:pPr>
      <w:r w:rsidRPr="002303AF">
        <w:rPr>
          <w:b/>
          <w:i w:val="0"/>
          <w:sz w:val="28"/>
          <w:szCs w:val="28"/>
        </w:rPr>
        <w:t>Komatsu and Atlassian Williams F1 Team renew award-winning global partnership with expanded technical collaboration</w:t>
      </w:r>
    </w:p>
    <w:p w14:paraId="5F5A7D9C" w14:textId="40D807BD" w:rsidR="005A15CF" w:rsidRPr="004363E3" w:rsidRDefault="005A15CF" w:rsidP="00740609">
      <w:pPr>
        <w:pStyle w:val="Subhead"/>
      </w:pPr>
      <w:r w:rsidRPr="005A15CF">
        <w:t>Renewed partnership expands opportunities to advance engineering collaboration, develop future talent and share technical expertise across two world-class engineering organizations </w:t>
      </w:r>
    </w:p>
    <w:p w14:paraId="491B6EA7" w14:textId="77777777" w:rsidR="00456887" w:rsidRPr="004363E3" w:rsidRDefault="00456887" w:rsidP="00456887">
      <w:pPr>
        <w:spacing w:after="0"/>
        <w:jc w:val="center"/>
        <w:rPr>
          <w:rFonts w:ascii="Arial" w:hAnsi="Arial" w:cs="Arial"/>
          <w:i/>
        </w:rPr>
      </w:pPr>
    </w:p>
    <w:p w14:paraId="1D2CE970" w14:textId="0AE75156" w:rsidR="00347B67" w:rsidRPr="00347B67" w:rsidRDefault="00347B67" w:rsidP="00347B67">
      <w:pPr>
        <w:rPr>
          <w:rFonts w:ascii="Arial" w:hAnsi="Arial" w:cs="Arial"/>
        </w:rPr>
      </w:pPr>
      <w:r>
        <w:rPr>
          <w:rFonts w:ascii="Arial" w:hAnsi="Arial" w:cs="Arial"/>
          <w:b/>
        </w:rPr>
        <w:t>Komatsu City</w:t>
      </w:r>
      <w:r w:rsidRPr="00347B67">
        <w:rPr>
          <w:rFonts w:ascii="Arial" w:hAnsi="Arial" w:cs="Arial"/>
          <w:b/>
        </w:rPr>
        <w:t>, Japan, Sept</w:t>
      </w:r>
      <w:r w:rsidR="00447493">
        <w:rPr>
          <w:rFonts w:ascii="Arial" w:hAnsi="Arial" w:cs="Arial"/>
          <w:b/>
        </w:rPr>
        <w:t>ember</w:t>
      </w:r>
      <w:r w:rsidRPr="00347B67">
        <w:rPr>
          <w:rFonts w:ascii="Arial" w:hAnsi="Arial" w:cs="Arial"/>
          <w:b/>
        </w:rPr>
        <w:t xml:space="preserve"> 2026</w:t>
      </w:r>
      <w:r w:rsidR="009F56AB" w:rsidRPr="00EF4A12">
        <w:rPr>
          <w:rFonts w:ascii="Arial" w:hAnsi="Arial" w:cs="Arial"/>
          <w:b/>
        </w:rPr>
        <w:t xml:space="preserve"> </w:t>
      </w:r>
      <w:r w:rsidR="004F071D" w:rsidRPr="00EF4A12">
        <w:rPr>
          <w:rFonts w:ascii="Arial" w:hAnsi="Arial" w:cs="Arial"/>
        </w:rPr>
        <w:t>—</w:t>
      </w:r>
      <w:r w:rsidR="000C5EA5" w:rsidRPr="00EF4A12">
        <w:rPr>
          <w:rFonts w:ascii="Arial" w:hAnsi="Arial" w:cs="Arial"/>
        </w:rPr>
        <w:t xml:space="preserve"> </w:t>
      </w:r>
      <w:r w:rsidRPr="00347B67">
        <w:rPr>
          <w:rFonts w:ascii="Arial" w:hAnsi="Arial" w:cs="Arial"/>
        </w:rPr>
        <w:t xml:space="preserve">Komatsu and Atlassian Williams F1 Team have extended their award-winning, global partnership beyond 2026, continuing a collaboration between two organizations that thrive in some of the world's most challenging engineering environments. Building on a relationship that spans decades, the renewed agreement creates a platform for advanced engineering initiatives, shared learning and knowledge exchange, and the continued development of future engineering talent. It underscores Komatsu's commitment to driving innovation by bringing its engineering expertise to further enhance this technical partnership. </w:t>
      </w:r>
    </w:p>
    <w:p w14:paraId="3EAC8095" w14:textId="42892D79" w:rsidR="00347B67" w:rsidRPr="00347B67" w:rsidRDefault="00347B67" w:rsidP="00347B67">
      <w:pPr>
        <w:rPr>
          <w:rFonts w:ascii="Arial" w:hAnsi="Arial" w:cs="Arial"/>
        </w:rPr>
      </w:pPr>
      <w:r w:rsidRPr="00347B67">
        <w:rPr>
          <w:rFonts w:ascii="Arial" w:hAnsi="Arial" w:cs="Arial"/>
        </w:rPr>
        <w:t xml:space="preserve">Under the partnership, Komatsu becomes Williams’ Official Hydraulic Innovation Partner, a new designation that reflects the company's decades of engineering leadership in critical technologies. For more than a century, Komatsu has been developing advanced technologies, including hydraulic systems, that power some of the world's most demanding equipment, from autonomous mining trucks to precision construction and forestry machinery operating in extreme environments. That expertise, built through continuous engineering, testing and innovation, aligns closely with the technical challenges of motorsport, where performance, precision and reliability are fundamental to success on track. </w:t>
      </w:r>
    </w:p>
    <w:p w14:paraId="014A5A7D" w14:textId="7ACDAB6B" w:rsidR="007D56D3" w:rsidRDefault="00347B67" w:rsidP="00347B67">
      <w:pPr>
        <w:rPr>
          <w:rFonts w:ascii="Arial" w:hAnsi="Arial" w:cs="Arial"/>
        </w:rPr>
      </w:pPr>
      <w:r w:rsidRPr="00347B67">
        <w:rPr>
          <w:rFonts w:ascii="Arial" w:hAnsi="Arial" w:cs="Arial"/>
        </w:rPr>
        <w:t>Komatsu’s technical expertise in advanced manufacturing will be a feature of the extended partnership, with Komatsu engineers helping to develop key components of Williams’ future F1 cars. This deeper technical collaboration underscores the shared mindset between Komatsu and Williams, with both organizations committed to advancing engineering excellence through innovation, precision and continuous improvement.</w:t>
      </w:r>
    </w:p>
    <w:p w14:paraId="3F737035" w14:textId="4DBE5EFD" w:rsidR="00347B67" w:rsidRPr="00266662" w:rsidRDefault="00266662" w:rsidP="00347B67">
      <w:pPr>
        <w:rPr>
          <w:rFonts w:ascii="Arial" w:hAnsi="Arial" w:cs="Arial"/>
        </w:rPr>
      </w:pPr>
      <w:r>
        <w:rPr>
          <w:rFonts w:ascii="Arial" w:hAnsi="Arial" w:cs="Arial"/>
          <w:noProof/>
        </w:rPr>
        <w:lastRenderedPageBreak/>
        <w:drawing>
          <wp:anchor distT="0" distB="0" distL="114300" distR="114300" simplePos="0" relativeHeight="251659264" behindDoc="0" locked="0" layoutInCell="1" allowOverlap="1" wp14:anchorId="3D791785" wp14:editId="7F6CAADD">
            <wp:simplePos x="0" y="0"/>
            <wp:positionH relativeFrom="margin">
              <wp:align>center</wp:align>
            </wp:positionH>
            <wp:positionV relativeFrom="paragraph">
              <wp:posOffset>0</wp:posOffset>
            </wp:positionV>
            <wp:extent cx="3962400" cy="2640965"/>
            <wp:effectExtent l="0" t="0" r="0" b="6985"/>
            <wp:wrapTopAndBottom/>
            <wp:docPr id="4463063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306337" name="Picture 44630633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62400" cy="2640965"/>
                    </a:xfrm>
                    <a:prstGeom prst="rect">
                      <a:avLst/>
                    </a:prstGeom>
                  </pic:spPr>
                </pic:pic>
              </a:graphicData>
            </a:graphic>
            <wp14:sizeRelH relativeFrom="margin">
              <wp14:pctWidth>0</wp14:pctWidth>
            </wp14:sizeRelH>
            <wp14:sizeRelV relativeFrom="margin">
              <wp14:pctHeight>0</wp14:pctHeight>
            </wp14:sizeRelV>
          </wp:anchor>
        </w:drawing>
      </w:r>
      <w:r w:rsidRPr="00266662">
        <w:rPr>
          <w:rFonts w:ascii="Arial" w:hAnsi="Arial" w:cs="Arial"/>
          <w:i/>
          <w:iCs/>
          <w:sz w:val="18"/>
          <w:szCs w:val="18"/>
        </w:rPr>
        <w:t>From left: Peter Kenyon, Board Adviser, Atlassian Williams F1 Team; Matthew Savage, Chairman, Atlassian Williams F1 Team; Takuya Imayoshi, President and CEO, Komatsu Ltd.; and Yasuji Nishiura, Senior Executive Officer, Komatsu Ltd., at the partnership extension signing ceremony Sept. 2 in Komatsu City, Japan.</w:t>
      </w:r>
    </w:p>
    <w:p w14:paraId="31BD8D21" w14:textId="23A26056" w:rsidR="00347B67" w:rsidRPr="00347B67" w:rsidRDefault="00347B67" w:rsidP="00347B67">
      <w:pPr>
        <w:rPr>
          <w:rFonts w:ascii="Arial" w:hAnsi="Arial" w:cs="Arial"/>
        </w:rPr>
      </w:pPr>
      <w:r w:rsidRPr="00347B67">
        <w:rPr>
          <w:rFonts w:ascii="Arial" w:hAnsi="Arial" w:cs="Arial"/>
        </w:rPr>
        <w:t xml:space="preserve">The engineering relationship began in the 1990s, when Komatsu manufactured gear components for Williams' 1996 and 1997 Formula 1 World Championship-winning cars. After renewing their partnership in 2024, Komatsu and Atlassian Williams F1 Team are now taking the next step by further expanding opportunities for technical collaboration and people development. Rather than marking a new direction, the partnership's evolution reflects a relationship that has always been rooted in engineering, with today's expanded collaboration carrying that technical foundation forward. </w:t>
      </w:r>
    </w:p>
    <w:p w14:paraId="42BE3836" w14:textId="4AA482CF" w:rsidR="00347B67" w:rsidRPr="00347B67" w:rsidRDefault="00347B67" w:rsidP="00347B67">
      <w:pPr>
        <w:rPr>
          <w:rFonts w:ascii="Arial" w:hAnsi="Arial" w:cs="Arial"/>
        </w:rPr>
      </w:pPr>
      <w:r w:rsidRPr="00347B67">
        <w:rPr>
          <w:rFonts w:ascii="Arial" w:hAnsi="Arial" w:cs="Arial"/>
        </w:rPr>
        <w:t xml:space="preserve">Komatsu and Williams share a commitment to developing the next generation of STEM talent through the Komatsu Williams Engineering Academy (KWEA), which each year welcomes 10 engineering students from around the world for an immersive program of mentorship, hands-on experience, and access to a library of technical learning modules. Under the extension, the academy will continue to recruit exceptional students from Formula Student and Formula SAE initiatives worldwide. Complementing the engineering academy, the organizations will also introduce the Komatsu Williams Leadership Academy, a leadership development program focused on building the next generation of Komatsu leaders from around the world. </w:t>
      </w:r>
    </w:p>
    <w:p w14:paraId="2B0CAC5E" w14:textId="243B2C12" w:rsidR="00347B67" w:rsidRPr="00347B67" w:rsidRDefault="00347B67" w:rsidP="00347B67">
      <w:pPr>
        <w:rPr>
          <w:rFonts w:ascii="Arial" w:hAnsi="Arial" w:cs="Arial"/>
        </w:rPr>
      </w:pPr>
      <w:r w:rsidRPr="00347B67">
        <w:rPr>
          <w:rFonts w:ascii="Arial" w:hAnsi="Arial" w:cs="Arial"/>
        </w:rPr>
        <w:t xml:space="preserve">Together, these bespoke programs demonstrate how the partnership extends beyond sponsorship by creating opportunities for students, employees and emerging leaders to learn from the complementary strengths of two world-class engineering organizations. Further details of the technical collaboration, academy activity and leadership program will be announced as the initiatives are developed. </w:t>
      </w:r>
    </w:p>
    <w:p w14:paraId="6F141E33" w14:textId="0D168576" w:rsidR="00347B67" w:rsidRPr="00347B67" w:rsidRDefault="00347B67" w:rsidP="00347B67">
      <w:pPr>
        <w:rPr>
          <w:rFonts w:ascii="Arial" w:hAnsi="Arial" w:cs="Arial"/>
        </w:rPr>
      </w:pPr>
      <w:r w:rsidRPr="00347B67">
        <w:rPr>
          <w:rFonts w:ascii="Arial" w:hAnsi="Arial" w:cs="Arial"/>
        </w:rPr>
        <w:t xml:space="preserve">Beginning in 2027, Komatsu will expand its involvement across Formula 2, Formula 3 and F1 Academy, supporting initiatives that inspire future engineers and strengthen connections between industry and motorsport. </w:t>
      </w:r>
    </w:p>
    <w:p w14:paraId="74EC39F0" w14:textId="340AA7F4" w:rsidR="00347B67" w:rsidRPr="00347B67" w:rsidRDefault="00347B67" w:rsidP="00347B67">
      <w:pPr>
        <w:rPr>
          <w:rFonts w:ascii="Arial" w:hAnsi="Arial" w:cs="Arial"/>
        </w:rPr>
      </w:pPr>
      <w:r w:rsidRPr="00347B67">
        <w:rPr>
          <w:rFonts w:ascii="Arial" w:hAnsi="Arial" w:cs="Arial"/>
        </w:rPr>
        <w:t xml:space="preserve">Komatsu branding will continue to feature across Atlassian Williams F1 Team’s global platform, reflecting the partnership's shared commitment to engineering excellence and innovation.  </w:t>
      </w:r>
    </w:p>
    <w:p w14:paraId="7796B2AE" w14:textId="17DA1C4D" w:rsidR="00347B67" w:rsidRPr="00347B67" w:rsidRDefault="00347B67" w:rsidP="00347B67">
      <w:pPr>
        <w:rPr>
          <w:rFonts w:ascii="Arial" w:hAnsi="Arial" w:cs="Arial"/>
        </w:rPr>
      </w:pPr>
      <w:r w:rsidRPr="00347B67">
        <w:rPr>
          <w:rFonts w:ascii="Arial" w:hAnsi="Arial" w:cs="Arial"/>
        </w:rPr>
        <w:t xml:space="preserve">The extension was formally marked by an announcement and signing ceremony in Komatsu City, Japan on September 2, 2026. The event was attended by senior leadership from both </w:t>
      </w:r>
      <w:r w:rsidRPr="00347B67">
        <w:rPr>
          <w:rFonts w:ascii="Arial" w:hAnsi="Arial" w:cs="Arial"/>
        </w:rPr>
        <w:lastRenderedPageBreak/>
        <w:t xml:space="preserve">Komatsu and Williams, including Takuya Imayoshi, President and CEO, Komatsu Ltd, Yasuji Nishiura, Senior Executive Officer, Komatsu Ltd., Matthew Savage, Chairman, Atlassian Williams F1 Team, and Peter Kenyon, Board Adviser, Atlassian Williams F1 Team. </w:t>
      </w:r>
    </w:p>
    <w:p w14:paraId="3949C3C7" w14:textId="257C7597" w:rsidR="00347B67" w:rsidRPr="00347B67" w:rsidRDefault="00347B67" w:rsidP="00347B67">
      <w:pPr>
        <w:rPr>
          <w:rFonts w:ascii="Arial" w:hAnsi="Arial" w:cs="Arial"/>
        </w:rPr>
      </w:pPr>
      <w:r w:rsidRPr="00347B67">
        <w:rPr>
          <w:rFonts w:ascii="Arial" w:hAnsi="Arial" w:cs="Arial"/>
        </w:rPr>
        <w:t xml:space="preserve">Takuya Imayoshi, President and CEO, Komatsu Ltd: "Komatsu has always believed that the greatest engineering advances come from tackling complex challenges alongside trusted partners. Our relationship with Atlassian Williams F1 Team has been built on a shared commitment to perseverance, collaboration and authenticity; values that have connected our organizations for decades. As we deepen this partnership, we are creating new opportunities to exchange knowledge, develop future engineering talent and accelerate the ideas that will help shape the next generation of technology. This is a natural extension of Komatsu's commitment to engineering excellence and our ambition to create value for customers and society through innovation." </w:t>
      </w:r>
    </w:p>
    <w:p w14:paraId="5DE86EC0" w14:textId="77777777" w:rsidR="00347B67" w:rsidRPr="00347B67" w:rsidRDefault="00347B67" w:rsidP="00347B67">
      <w:pPr>
        <w:rPr>
          <w:rFonts w:ascii="Arial" w:hAnsi="Arial" w:cs="Arial"/>
        </w:rPr>
      </w:pPr>
      <w:r w:rsidRPr="00347B67">
        <w:rPr>
          <w:rFonts w:ascii="Arial" w:hAnsi="Arial" w:cs="Arial"/>
        </w:rPr>
        <w:t xml:space="preserve">James Vowles, Team Principal, Atlassian Williams F1 Team: “After three successful seasons together and a relationship which dates back to our last Championship-winning cars, it is fantastic to be expanding our partnership with Komatsu as Atlassian Williams F1 Team approaches its 50th anniversary. The relationship with Komatsu is truly special and embodies our approach to working with partners who share our values, believe in our journey and can help deliver success on and off track. We look forward to taking the partnership to the next level in 2027 and beyond.” </w:t>
      </w:r>
    </w:p>
    <w:p w14:paraId="7E1B241C" w14:textId="77777777" w:rsidR="00347B67" w:rsidRPr="00347B67" w:rsidRDefault="00347B67" w:rsidP="00347B67">
      <w:pPr>
        <w:rPr>
          <w:rFonts w:ascii="Arial" w:hAnsi="Arial" w:cs="Arial"/>
          <w:b/>
        </w:rPr>
      </w:pPr>
    </w:p>
    <w:p w14:paraId="645F3D01" w14:textId="0784A482" w:rsidR="00347B67" w:rsidRPr="00347B67" w:rsidRDefault="00347B67" w:rsidP="00347B67">
      <w:pPr>
        <w:rPr>
          <w:rFonts w:ascii="Arial" w:hAnsi="Arial" w:cs="Arial"/>
          <w:b/>
        </w:rPr>
      </w:pPr>
      <w:r w:rsidRPr="00347B67">
        <w:rPr>
          <w:rFonts w:ascii="Arial" w:hAnsi="Arial" w:cs="Arial"/>
          <w:b/>
        </w:rPr>
        <w:t xml:space="preserve">About Atlassian Williams F1 Team </w:t>
      </w:r>
    </w:p>
    <w:p w14:paraId="19702C50" w14:textId="34B42C80" w:rsidR="00347B67" w:rsidRDefault="00347B67" w:rsidP="00347B67">
      <w:pPr>
        <w:rPr>
          <w:rFonts w:ascii="Arial" w:hAnsi="Arial" w:cs="Arial"/>
        </w:rPr>
      </w:pPr>
      <w:r w:rsidRPr="00447493">
        <w:rPr>
          <w:rFonts w:ascii="Arial" w:hAnsi="Arial" w:cs="Arial"/>
        </w:rPr>
        <w:t>Atlassian Williams F1 Team is one of the world’s most iconic Formula 1 teams. Founded in 1977 by Sir Frank Williams and Sir Patrick Head, the team has won nine Constructors’ World Championships, seven Drivers’ World Championships and 114 Grand Prix races – making it one of the three most-successful teams in history. Based in Grove, Oxfordshire and competing at the pinnacle of motorsport, Williams continues to build for the future of Formula 1 through world-class engineering, racing excellence and a commitment to bringing fans closer to the sport than ever before.</w:t>
      </w:r>
    </w:p>
    <w:p w14:paraId="2BDEA45D" w14:textId="77777777" w:rsidR="00447493" w:rsidRPr="00447493" w:rsidRDefault="00447493" w:rsidP="00347B67">
      <w:pPr>
        <w:rPr>
          <w:rFonts w:ascii="Arial" w:hAnsi="Arial" w:cs="Arial"/>
        </w:rPr>
      </w:pPr>
    </w:p>
    <w:p w14:paraId="0FFEBA3F" w14:textId="44476068" w:rsidR="00BD4655" w:rsidRDefault="00BD4655" w:rsidP="00BD4655">
      <w:pPr>
        <w:autoSpaceDE w:val="0"/>
        <w:autoSpaceDN w:val="0"/>
        <w:adjustRightInd w:val="0"/>
        <w:spacing w:after="0" w:line="240" w:lineRule="auto"/>
        <w:rPr>
          <w:rFonts w:ascii="Arial" w:hAnsi="Arial" w:cs="Arial"/>
          <w:b/>
        </w:rPr>
      </w:pPr>
      <w:r w:rsidRPr="004363E3">
        <w:rPr>
          <w:rFonts w:ascii="Arial" w:hAnsi="Arial" w:cs="Arial"/>
          <w:b/>
        </w:rPr>
        <w:t>About Komatsu</w:t>
      </w:r>
    </w:p>
    <w:p w14:paraId="6E6673BB" w14:textId="77777777" w:rsidR="00447493" w:rsidRPr="004363E3" w:rsidRDefault="00447493" w:rsidP="00BD4655">
      <w:pPr>
        <w:autoSpaceDE w:val="0"/>
        <w:autoSpaceDN w:val="0"/>
        <w:adjustRightInd w:val="0"/>
        <w:spacing w:after="0" w:line="240" w:lineRule="auto"/>
        <w:rPr>
          <w:rFonts w:ascii="Arial" w:hAnsi="Arial" w:cs="Arial"/>
          <w:b/>
        </w:rPr>
      </w:pPr>
    </w:p>
    <w:p w14:paraId="4DF9454F" w14:textId="77777777" w:rsidR="00F1776C" w:rsidRDefault="00BD4655" w:rsidP="00BD4655">
      <w:pPr>
        <w:autoSpaceDE w:val="0"/>
        <w:autoSpaceDN w:val="0"/>
        <w:adjustRightInd w:val="0"/>
        <w:spacing w:after="0" w:line="240" w:lineRule="auto"/>
        <w:rPr>
          <w:rFonts w:ascii="Arial" w:hAnsi="Arial" w:cs="Arial"/>
        </w:rPr>
      </w:pPr>
      <w:r w:rsidRPr="004363E3">
        <w:rPr>
          <w:rFonts w:ascii="Arial" w:hAnsi="Arial" w:cs="Arial"/>
        </w:rPr>
        <w:t>Komatsu is an industry-leading manufacturer and supplier of equipment, technologies and services for the construction, forklift, mining, industrial and forestry markets. For nearly a century, Komatsu equipment and services have been used by companies worldwide to develop modern infrastructure, extract fundamental minerals, maintain forests and create technology and consumer products. The company’s global service and distributor networks support customer operations, tapping into the power of data and technology to enhance safety and productivity while optimizing performance.</w:t>
      </w:r>
      <w:r w:rsidR="00F1776C" w:rsidRPr="004363E3">
        <w:rPr>
          <w:rFonts w:ascii="Arial" w:hAnsi="Arial" w:cs="Arial"/>
        </w:rPr>
        <w:t xml:space="preserve"> </w:t>
      </w:r>
    </w:p>
    <w:p w14:paraId="6DA9F9B8" w14:textId="77777777" w:rsidR="00995DAB" w:rsidRDefault="00995DAB" w:rsidP="00BD4655">
      <w:pPr>
        <w:autoSpaceDE w:val="0"/>
        <w:autoSpaceDN w:val="0"/>
        <w:adjustRightInd w:val="0"/>
        <w:spacing w:after="0" w:line="240" w:lineRule="auto"/>
        <w:rPr>
          <w:rFonts w:ascii="Arial" w:hAnsi="Arial" w:cs="Arial"/>
        </w:rPr>
      </w:pPr>
    </w:p>
    <w:p w14:paraId="27D16079" w14:textId="77777777" w:rsidR="00793532" w:rsidRPr="00F97F80" w:rsidRDefault="00793532" w:rsidP="00793532">
      <w:pPr>
        <w:autoSpaceDE w:val="0"/>
        <w:autoSpaceDN w:val="0"/>
        <w:adjustRightInd w:val="0"/>
        <w:spacing w:after="0" w:line="240" w:lineRule="auto"/>
        <w:rPr>
          <w:rFonts w:ascii="Arial" w:hAnsi="Arial" w:cs="Arial"/>
        </w:rPr>
      </w:pPr>
    </w:p>
    <w:p w14:paraId="266ED91A" w14:textId="77777777" w:rsidR="00456887" w:rsidRPr="004363E3" w:rsidRDefault="00793532" w:rsidP="00793532">
      <w:pPr>
        <w:jc w:val="center"/>
        <w:rPr>
          <w:rFonts w:ascii="Arial" w:hAnsi="Arial" w:cs="Arial"/>
        </w:rPr>
      </w:pPr>
      <w:r w:rsidRPr="004363E3">
        <w:rPr>
          <w:rFonts w:ascii="Arial" w:hAnsi="Arial" w:cs="Arial"/>
        </w:rPr>
        <w:t>#     #     #</w:t>
      </w:r>
    </w:p>
    <w:sectPr w:rsidR="00456887" w:rsidRPr="004363E3" w:rsidSect="001B1DE3">
      <w:headerReference w:type="even" r:id="rId13"/>
      <w:headerReference w:type="default" r:id="rId14"/>
      <w:headerReference w:type="first" r:id="rId15"/>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640C1" w14:textId="77777777" w:rsidR="006E72D3" w:rsidRDefault="006E72D3" w:rsidP="0087320E">
      <w:pPr>
        <w:spacing w:after="0" w:line="240" w:lineRule="auto"/>
      </w:pPr>
      <w:r>
        <w:separator/>
      </w:r>
    </w:p>
  </w:endnote>
  <w:endnote w:type="continuationSeparator" w:id="0">
    <w:p w14:paraId="41495BB8" w14:textId="77777777" w:rsidR="006E72D3" w:rsidRDefault="006E72D3" w:rsidP="00873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74DE6" w14:textId="77777777" w:rsidR="006E72D3" w:rsidRDefault="006E72D3" w:rsidP="0087320E">
      <w:pPr>
        <w:spacing w:after="0" w:line="240" w:lineRule="auto"/>
      </w:pPr>
      <w:r>
        <w:separator/>
      </w:r>
    </w:p>
  </w:footnote>
  <w:footnote w:type="continuationSeparator" w:id="0">
    <w:p w14:paraId="6E413BFA" w14:textId="77777777" w:rsidR="006E72D3" w:rsidRDefault="006E72D3" w:rsidP="008732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C7B4F" w14:textId="2C2C0349" w:rsidR="0087320E" w:rsidRDefault="0087320E">
    <w:pPr>
      <w:pStyle w:val="Header"/>
    </w:pPr>
    <w:r>
      <w:rPr>
        <w:noProof/>
      </w:rPr>
      <mc:AlternateContent>
        <mc:Choice Requires="wps">
          <w:drawing>
            <wp:anchor distT="0" distB="0" distL="0" distR="0" simplePos="0" relativeHeight="251659264" behindDoc="0" locked="0" layoutInCell="1" allowOverlap="1" wp14:anchorId="2F86C051" wp14:editId="6E11799A">
              <wp:simplePos x="635" y="635"/>
              <wp:positionH relativeFrom="page">
                <wp:align>left</wp:align>
              </wp:positionH>
              <wp:positionV relativeFrom="page">
                <wp:align>top</wp:align>
              </wp:positionV>
              <wp:extent cx="600075" cy="357505"/>
              <wp:effectExtent l="0" t="0" r="9525" b="4445"/>
              <wp:wrapNone/>
              <wp:docPr id="206274314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57505"/>
                      </a:xfrm>
                      <a:prstGeom prst="rect">
                        <a:avLst/>
                      </a:prstGeom>
                      <a:noFill/>
                      <a:ln>
                        <a:noFill/>
                      </a:ln>
                    </wps:spPr>
                    <wps:txbx>
                      <w:txbxContent>
                        <w:p w14:paraId="043D58FB" w14:textId="408B4D15" w:rsidR="0087320E" w:rsidRPr="0087320E" w:rsidRDefault="0087320E" w:rsidP="0087320E">
                          <w:pPr>
                            <w:spacing w:after="0"/>
                            <w:rPr>
                              <w:rFonts w:ascii="Aptos" w:eastAsia="Aptos" w:hAnsi="Aptos" w:cs="Aptos"/>
                              <w:noProof/>
                              <w:color w:val="0000FF"/>
                              <w:sz w:val="20"/>
                              <w:szCs w:val="20"/>
                            </w:rPr>
                          </w:pPr>
                          <w:r w:rsidRPr="0087320E">
                            <w:rPr>
                              <w:rFonts w:ascii="Aptos" w:eastAsia="Aptos" w:hAnsi="Aptos" w:cs="Aptos"/>
                              <w:noProof/>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F86C051" id="_x0000_t202" coordsize="21600,21600" o:spt="202" path="m,l,21600r21600,l21600,xe">
              <v:stroke joinstyle="miter"/>
              <v:path gradientshapeok="t" o:connecttype="rect"/>
            </v:shapetype>
            <v:shape id="Text Box 2" o:spid="_x0000_s1026" type="#_x0000_t202" alt="Public" style="position:absolute;margin-left:0;margin-top:0;width:47.25pt;height:28.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olBDQIAABoEAAAOAAAAZHJzL2Uyb0RvYy54bWysU8lu2zAQvRfoPxC815LdKotgOXATuChg&#10;JAGcIGeaIi0BJIcgaUvu13dIyXab9lT0Qs2mWd68md/1WpGDcL4FU9HpJKdEGA51a3YVfX1Zfbqh&#10;xAdmaqbAiIoehad3i48f5p0txQwaULVwBJMYX3a2ok0ItswyzxuhmZ+AFQadEpxmAVW3y2rHOsyu&#10;VTbL86usA1dbB1x4j9aHwUkXKb+UgocnKb0IRFUUewvpdendxjdbzFm5c8w2LR/bYP/QhWatwaLn&#10;VA8sMLJ37R+pdMsdeJBhwkFnIGXLRZoBp5nm76bZNMyKNAuC4+0ZJv//0vLHw8Y+OxL6r9DjAiMg&#10;nfWlR2Ocp5dOxy92StCPEB7PsIk+EI7GqzzPrwtKOLo+F9dFXsQs2eVn63z4JkCTKFTU4VYSWOyw&#10;9mEIPYXEWgZWrVJpM8r8ZsCc0ZJdOoxS6Lf92PYW6iNO42BYtLd81WLNNfPhmTncLA6AbA1P+EgF&#10;XUVhlChpwP34mz3GI+DopaRDplTUIJUpUd8NLmJWfMHxkVlJm97mRdRc0lDYngSz1/eAJJziPVie&#10;xBgX1EmUDvQbknkZq6GLGY41KxpO4n0YeIvHwMVymYKQRJaFtdlYHlNHsCKSL/0bc3aEO+CeHuHE&#10;JVa+Q32IjX96u9wHxD6tJAI7oDnijQRMSx2PJTL8Vz1FXU568RMAAP//AwBQSwMEFAAGAAgAAAAh&#10;AJTiv+PaAAAAAwEAAA8AAABkcnMvZG93bnJldi54bWxMj09Lw0AQxe+C32EZwZvdqE3RmEkRQVCw&#10;FGvR6zY7+YPZ2ZCdNPHbu3rRy8DjPd77Tb6eXaeONITWM8LlIgFFXHrbco2wf3u8uAEVxLA1nWdC&#10;+KIA6+L0JDeZ9RO/0nEntYolHDKD0Ij0mdahbMiZsPA9cfQqPzgjUQ61toOZYrnr9FWSrLQzLceF&#10;xvT00FD5uRsdwtMyfMhYVWnYvGym5Hly+3H7jnh+Nt/fgRKa5S8MP/gRHYrIdPAj26A6hPiI/N7o&#10;3S5TUAeEdHUNusj1f/biGwAA//8DAFBLAQItABQABgAIAAAAIQC2gziS/gAAAOEBAAATAAAAAAAA&#10;AAAAAAAAAAAAAABbQ29udGVudF9UeXBlc10ueG1sUEsBAi0AFAAGAAgAAAAhADj9If/WAAAAlAEA&#10;AAsAAAAAAAAAAAAAAAAALwEAAF9yZWxzLy5yZWxzUEsBAi0AFAAGAAgAAAAhAAAWiUENAgAAGgQA&#10;AA4AAAAAAAAAAAAAAAAALgIAAGRycy9lMm9Eb2MueG1sUEsBAi0AFAAGAAgAAAAhAJTiv+PaAAAA&#10;AwEAAA8AAAAAAAAAAAAAAAAAZwQAAGRycy9kb3ducmV2LnhtbFBLBQYAAAAABAAEAPMAAABuBQAA&#10;AAA=&#10;" filled="f" stroked="f">
              <v:textbox style="mso-fit-shape-to-text:t" inset="20pt,15pt,0,0">
                <w:txbxContent>
                  <w:p w14:paraId="043D58FB" w14:textId="408B4D15" w:rsidR="0087320E" w:rsidRPr="0087320E" w:rsidRDefault="0087320E" w:rsidP="0087320E">
                    <w:pPr>
                      <w:spacing w:after="0"/>
                      <w:rPr>
                        <w:rFonts w:ascii="Aptos" w:eastAsia="Aptos" w:hAnsi="Aptos" w:cs="Aptos"/>
                        <w:noProof/>
                        <w:color w:val="0000FF"/>
                        <w:sz w:val="20"/>
                        <w:szCs w:val="20"/>
                      </w:rPr>
                    </w:pPr>
                    <w:r w:rsidRPr="0087320E">
                      <w:rPr>
                        <w:rFonts w:ascii="Aptos" w:eastAsia="Aptos" w:hAnsi="Aptos" w:cs="Aptos"/>
                        <w:noProof/>
                        <w:color w:val="0000FF"/>
                        <w:sz w:val="2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38DAC" w14:textId="68B4A542" w:rsidR="0087320E" w:rsidRDefault="0087320E">
    <w:pPr>
      <w:pStyle w:val="Header"/>
    </w:pPr>
    <w:r>
      <w:rPr>
        <w:noProof/>
      </w:rPr>
      <mc:AlternateContent>
        <mc:Choice Requires="wps">
          <w:drawing>
            <wp:anchor distT="0" distB="0" distL="0" distR="0" simplePos="0" relativeHeight="251660288" behindDoc="0" locked="0" layoutInCell="1" allowOverlap="1" wp14:anchorId="7534D5DA" wp14:editId="04246B90">
              <wp:simplePos x="914400" y="460858"/>
              <wp:positionH relativeFrom="page">
                <wp:align>left</wp:align>
              </wp:positionH>
              <wp:positionV relativeFrom="page">
                <wp:align>top</wp:align>
              </wp:positionV>
              <wp:extent cx="600075" cy="357505"/>
              <wp:effectExtent l="0" t="0" r="9525" b="4445"/>
              <wp:wrapNone/>
              <wp:docPr id="181567811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57505"/>
                      </a:xfrm>
                      <a:prstGeom prst="rect">
                        <a:avLst/>
                      </a:prstGeom>
                      <a:noFill/>
                      <a:ln>
                        <a:noFill/>
                      </a:ln>
                    </wps:spPr>
                    <wps:txbx>
                      <w:txbxContent>
                        <w:p w14:paraId="615D0731" w14:textId="48E9D777" w:rsidR="0087320E" w:rsidRPr="0087320E" w:rsidRDefault="0087320E" w:rsidP="0087320E">
                          <w:pPr>
                            <w:spacing w:after="0"/>
                            <w:rPr>
                              <w:rFonts w:ascii="Aptos" w:eastAsia="Aptos" w:hAnsi="Aptos" w:cs="Aptos"/>
                              <w:noProof/>
                              <w:color w:val="0000FF"/>
                              <w:sz w:val="20"/>
                              <w:szCs w:val="20"/>
                            </w:rPr>
                          </w:pPr>
                          <w:r w:rsidRPr="0087320E">
                            <w:rPr>
                              <w:rFonts w:ascii="Aptos" w:eastAsia="Aptos" w:hAnsi="Aptos" w:cs="Aptos"/>
                              <w:noProof/>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534D5DA" id="_x0000_t202" coordsize="21600,21600" o:spt="202" path="m,l,21600r21600,l21600,xe">
              <v:stroke joinstyle="miter"/>
              <v:path gradientshapeok="t" o:connecttype="rect"/>
            </v:shapetype>
            <v:shape id="Text Box 3" o:spid="_x0000_s1027" type="#_x0000_t202" alt="Public" style="position:absolute;margin-left:0;margin-top:0;width:47.25pt;height:28.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hPHEAIAACEEAAAOAAAAZHJzL2Uyb0RvYy54bWysU8tu2zAQvBfoPxC815LdKmkFy4GbwEWB&#10;IAngFDnTFGkJoLgEubbkfn2XlB9p2lPRC7UvLXdnhvOboTNsr3xowVZ8Osk5U1ZC3dptxX88rz58&#10;5iygsLUwYFXFDyrwm8X7d/PelWoGDZhaeUZNbCh7V/EG0ZVZFmSjOhEm4JSlpAbfCSTXb7Pai566&#10;dyab5flV1oOvnQepQqDo3Zjki9RfayXxUeugkJmK02yYTp/OTTyzxVyUWy9c08rjGOIfpuhEa+nS&#10;c6s7gYLtfPtHq66VHgJonEjoMtC6lSrtQNtM8zfbrBvhVNqFwAnuDFP4f23lw37tnjzD4SsMRGAE&#10;pHehDBSM+wzad/FLkzLKE4SHM2xqQCYpeJXn+XXBmaTUx+K6yIvYJbv87HzAbwo6Fo2Ke2IlgSX2&#10;9wHH0lNJvMvCqjUmMWPsbwHqGSPZZcJo4bAZWFu/mn4D9YGW8jDyHZxctXT1vQj4JDwRTHuQaPGR&#10;Dm2grzgcLc4a8D//Fo/1hDtlOetJMBW3pGjOzHdLfMyKT4QCCSx50y95ET2fPDI2J8PuulsgLU7p&#10;WTiZzFiH5mRqD90LaXoZb6OUsJLurDiezFsc5UtvQqrlMhWRlpzAe7t2MraOmEVAn4cX4d0RdSS6&#10;HuAkKVG+AX+sjX8Gt9whUZCYifiOaB5hJx0mbo9vJgr9tZ+qLi978QsAAP//AwBQSwMEFAAGAAgA&#10;AAAhAJTiv+PaAAAAAwEAAA8AAABkcnMvZG93bnJldi54bWxMj09Lw0AQxe+C32EZwZvdqE3RmEkR&#10;QVCwFGvR6zY7+YPZ2ZCdNPHbu3rRy8DjPd77Tb6eXaeONITWM8LlIgFFXHrbco2wf3u8uAEVxLA1&#10;nWdC+KIA6+L0JDeZ9RO/0nEntYolHDKD0Ij0mdahbMiZsPA9cfQqPzgjUQ61toOZYrnr9FWSrLQz&#10;LceFxvT00FD5uRsdwtMyfMhYVWnYvGym5Hly+3H7jnh+Nt/fgRKa5S8MP/gRHYrIdPAj26A6hPiI&#10;/N7o3S5TUAeEdHUNusj1f/biGwAA//8DAFBLAQItABQABgAIAAAAIQC2gziS/gAAAOEBAAATAAAA&#10;AAAAAAAAAAAAAAAAAABbQ29udGVudF9UeXBlc10ueG1sUEsBAi0AFAAGAAgAAAAhADj9If/WAAAA&#10;lAEAAAsAAAAAAAAAAAAAAAAALwEAAF9yZWxzLy5yZWxzUEsBAi0AFAAGAAgAAAAhAM42E8cQAgAA&#10;IQQAAA4AAAAAAAAAAAAAAAAALgIAAGRycy9lMm9Eb2MueG1sUEsBAi0AFAAGAAgAAAAhAJTiv+Pa&#10;AAAAAwEAAA8AAAAAAAAAAAAAAAAAagQAAGRycy9kb3ducmV2LnhtbFBLBQYAAAAABAAEAPMAAABx&#10;BQAAAAA=&#10;" filled="f" stroked="f">
              <v:textbox style="mso-fit-shape-to-text:t" inset="20pt,15pt,0,0">
                <w:txbxContent>
                  <w:p w14:paraId="615D0731" w14:textId="48E9D777" w:rsidR="0087320E" w:rsidRPr="0087320E" w:rsidRDefault="0087320E" w:rsidP="0087320E">
                    <w:pPr>
                      <w:spacing w:after="0"/>
                      <w:rPr>
                        <w:rFonts w:ascii="Aptos" w:eastAsia="Aptos" w:hAnsi="Aptos" w:cs="Aptos"/>
                        <w:noProof/>
                        <w:color w:val="0000FF"/>
                        <w:sz w:val="20"/>
                        <w:szCs w:val="20"/>
                      </w:rPr>
                    </w:pPr>
                    <w:r w:rsidRPr="0087320E">
                      <w:rPr>
                        <w:rFonts w:ascii="Aptos" w:eastAsia="Aptos" w:hAnsi="Aptos" w:cs="Aptos"/>
                        <w:noProof/>
                        <w:color w:val="0000FF"/>
                        <w:sz w:val="2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2C3DB" w14:textId="6DAF295D" w:rsidR="0087320E" w:rsidRDefault="0087320E">
    <w:pPr>
      <w:pStyle w:val="Header"/>
    </w:pPr>
    <w:r>
      <w:rPr>
        <w:noProof/>
      </w:rPr>
      <mc:AlternateContent>
        <mc:Choice Requires="wps">
          <w:drawing>
            <wp:anchor distT="0" distB="0" distL="0" distR="0" simplePos="0" relativeHeight="251658240" behindDoc="0" locked="0" layoutInCell="1" allowOverlap="1" wp14:anchorId="73D2D71F" wp14:editId="56F1B989">
              <wp:simplePos x="635" y="635"/>
              <wp:positionH relativeFrom="page">
                <wp:align>left</wp:align>
              </wp:positionH>
              <wp:positionV relativeFrom="page">
                <wp:align>top</wp:align>
              </wp:positionV>
              <wp:extent cx="600075" cy="357505"/>
              <wp:effectExtent l="0" t="0" r="9525" b="4445"/>
              <wp:wrapNone/>
              <wp:docPr id="1922663650"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57505"/>
                      </a:xfrm>
                      <a:prstGeom prst="rect">
                        <a:avLst/>
                      </a:prstGeom>
                      <a:noFill/>
                      <a:ln>
                        <a:noFill/>
                      </a:ln>
                    </wps:spPr>
                    <wps:txbx>
                      <w:txbxContent>
                        <w:p w14:paraId="0D5D0F37" w14:textId="461D6821" w:rsidR="0087320E" w:rsidRPr="0087320E" w:rsidRDefault="0087320E" w:rsidP="0087320E">
                          <w:pPr>
                            <w:spacing w:after="0"/>
                            <w:rPr>
                              <w:rFonts w:ascii="Aptos" w:eastAsia="Aptos" w:hAnsi="Aptos" w:cs="Aptos"/>
                              <w:noProof/>
                              <w:color w:val="0000FF"/>
                              <w:sz w:val="20"/>
                              <w:szCs w:val="20"/>
                            </w:rPr>
                          </w:pPr>
                          <w:r w:rsidRPr="0087320E">
                            <w:rPr>
                              <w:rFonts w:ascii="Aptos" w:eastAsia="Aptos" w:hAnsi="Aptos" w:cs="Aptos"/>
                              <w:noProof/>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3D2D71F" id="_x0000_t202" coordsize="21600,21600" o:spt="202" path="m,l,21600r21600,l21600,xe">
              <v:stroke joinstyle="miter"/>
              <v:path gradientshapeok="t" o:connecttype="rect"/>
            </v:shapetype>
            <v:shape id="Text Box 1" o:spid="_x0000_s1028" type="#_x0000_t202" alt="Public" style="position:absolute;margin-left:0;margin-top:0;width:47.2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OCFEgIAACEEAAAOAAAAZHJzL2Uyb0RvYy54bWysU8tu2zAQvBfoPxC815LdKg/BcuAmcFHA&#10;SAI4Qc40RVoCSC5B0pbcr++Ssuw27anohdqXlrszw/ldrxU5COdbMBWdTnJKhOFQt2ZX0deX1acb&#10;SnxgpmYKjKjoUXh6t/j4Yd7ZUsygAVULR7CJ8WVnK9qEYMss87wRmvkJWGEwKcFpFtB1u6x2rMPu&#10;WmWzPL/KOnC1dcCF9xh9GJJ0kfpLKXh4ktKLQFRFcbaQTpfObTyzxZyVO8ds0/LTGOwfptCsNXjp&#10;udUDC4zsXftHK91yBx5kmHDQGUjZcpF2wG2m+bttNg2zIu2C4Hh7hsn/v7b88bCxz46E/iv0SGAE&#10;pLO+9BiM+/TS6fjFSQnmEcLjGTbRB8IxeJXn+XVBCcfU5+K6yIvYJbv8bJ0P3wRoEo2KOmQlgcUO&#10;ax+G0rEk3mVg1SqVmFHmtwD2jJHsMmG0Qr/tSVtXdDZOv4X6iEs5GPj2lq9avHrNfHhmDgnGPVC0&#10;4QkPqaCrKJwsShpwP/4Wj/WIO2Yp6VAwFTWoaErUd4N8zIoviAIKLHnT27yInkseGtvRMHt9D6jF&#10;KT4Ly5MZ64IaTelAv6Gml/E2TDHD8c6KhtG8D4N88U1wsVymItSSZWFtNpbH1hGzCOhL/8acPaEe&#10;kK5HGCXFynfgD7XxT2+X+4AUJGYivgOaJ9hRh4nb05uJQv/VT1WXl734CQAA//8DAFBLAwQUAAYA&#10;CAAAACEAlOK/49oAAAADAQAADwAAAGRycy9kb3ducmV2LnhtbEyPT0vDQBDF74LfYRnBm92oTdGY&#10;SRFBULAUa9HrNjv5g9nZkJ008du7etHLwOM93vtNvp5dp440hNYzwuUiAUVcettyjbB/e7y4ARXE&#10;sDWdZ0L4ogDr4vQkN5n1E7/ScSe1iiUcMoPQiPSZ1qFsyJmw8D1x9Co/OCNRDrW2g5liuev0VZKs&#10;tDMtx4XG9PTQUPm5Gx3C0zJ8yFhVadi8bKbkeXL7cfuOeH4239+BEprlLww/+BEdish08CPboDqE&#10;+Ij83ujdLlNQB4R0dQ26yPV/9uIbAAD//wMAUEsBAi0AFAAGAAgAAAAhALaDOJL+AAAA4QEAABMA&#10;AAAAAAAAAAAAAAAAAAAAAFtDb250ZW50X1R5cGVzXS54bWxQSwECLQAUAAYACAAAACEAOP0h/9YA&#10;AACUAQAACwAAAAAAAAAAAAAAAAAvAQAAX3JlbHMvLnJlbHNQSwECLQAUAAYACAAAACEAn6DghRIC&#10;AAAhBAAADgAAAAAAAAAAAAAAAAAuAgAAZHJzL2Uyb0RvYy54bWxQSwECLQAUAAYACAAAACEAlOK/&#10;49oAAAADAQAADwAAAAAAAAAAAAAAAABsBAAAZHJzL2Rvd25yZXYueG1sUEsFBgAAAAAEAAQA8wAA&#10;AHMFAAAAAA==&#10;" filled="f" stroked="f">
              <v:textbox style="mso-fit-shape-to-text:t" inset="20pt,15pt,0,0">
                <w:txbxContent>
                  <w:p w14:paraId="0D5D0F37" w14:textId="461D6821" w:rsidR="0087320E" w:rsidRPr="0087320E" w:rsidRDefault="0087320E" w:rsidP="0087320E">
                    <w:pPr>
                      <w:spacing w:after="0"/>
                      <w:rPr>
                        <w:rFonts w:ascii="Aptos" w:eastAsia="Aptos" w:hAnsi="Aptos" w:cs="Aptos"/>
                        <w:noProof/>
                        <w:color w:val="0000FF"/>
                        <w:sz w:val="20"/>
                        <w:szCs w:val="20"/>
                      </w:rPr>
                    </w:pPr>
                    <w:r w:rsidRPr="0087320E">
                      <w:rPr>
                        <w:rFonts w:ascii="Aptos" w:eastAsia="Aptos" w:hAnsi="Aptos" w:cs="Aptos"/>
                        <w:noProof/>
                        <w:color w:val="0000FF"/>
                        <w:sz w:val="20"/>
                        <w:szCs w:val="20"/>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C4D5C"/>
    <w:multiLevelType w:val="hybridMultilevel"/>
    <w:tmpl w:val="2FC4C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B27900"/>
    <w:multiLevelType w:val="hybridMultilevel"/>
    <w:tmpl w:val="D67AB10C"/>
    <w:lvl w:ilvl="0" w:tplc="F2DEB044">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10607183">
    <w:abstractNumId w:val="1"/>
  </w:num>
  <w:num w:numId="2" w16cid:durableId="910190996">
    <w:abstractNumId w:val="1"/>
  </w:num>
  <w:num w:numId="3" w16cid:durableId="14182067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887"/>
    <w:rsid w:val="00002255"/>
    <w:rsid w:val="00027E31"/>
    <w:rsid w:val="00044C28"/>
    <w:rsid w:val="00054D32"/>
    <w:rsid w:val="000C54AD"/>
    <w:rsid w:val="000C5EA5"/>
    <w:rsid w:val="000E145A"/>
    <w:rsid w:val="000E6014"/>
    <w:rsid w:val="0010163E"/>
    <w:rsid w:val="00107C37"/>
    <w:rsid w:val="0012034B"/>
    <w:rsid w:val="0012469A"/>
    <w:rsid w:val="00174ADC"/>
    <w:rsid w:val="001844FA"/>
    <w:rsid w:val="00193708"/>
    <w:rsid w:val="001B1DE3"/>
    <w:rsid w:val="001C2963"/>
    <w:rsid w:val="001D2E6D"/>
    <w:rsid w:val="001E4D1F"/>
    <w:rsid w:val="001F6970"/>
    <w:rsid w:val="001F6EBA"/>
    <w:rsid w:val="002303AF"/>
    <w:rsid w:val="00266662"/>
    <w:rsid w:val="00271CF8"/>
    <w:rsid w:val="0027294D"/>
    <w:rsid w:val="00284FFC"/>
    <w:rsid w:val="00296B7A"/>
    <w:rsid w:val="002A0A87"/>
    <w:rsid w:val="002D0D42"/>
    <w:rsid w:val="002E1193"/>
    <w:rsid w:val="00302114"/>
    <w:rsid w:val="00307DED"/>
    <w:rsid w:val="00333AA5"/>
    <w:rsid w:val="00347B67"/>
    <w:rsid w:val="00386120"/>
    <w:rsid w:val="00387F07"/>
    <w:rsid w:val="003B5D7F"/>
    <w:rsid w:val="003D50EB"/>
    <w:rsid w:val="003E0C3D"/>
    <w:rsid w:val="003E7CE7"/>
    <w:rsid w:val="004363E3"/>
    <w:rsid w:val="00447493"/>
    <w:rsid w:val="00456887"/>
    <w:rsid w:val="004604B9"/>
    <w:rsid w:val="00485EF7"/>
    <w:rsid w:val="004C7FBD"/>
    <w:rsid w:val="004F071D"/>
    <w:rsid w:val="004F181D"/>
    <w:rsid w:val="00543AD2"/>
    <w:rsid w:val="005A15CF"/>
    <w:rsid w:val="005B25A8"/>
    <w:rsid w:val="005C49BA"/>
    <w:rsid w:val="005D276B"/>
    <w:rsid w:val="005E3480"/>
    <w:rsid w:val="005E773E"/>
    <w:rsid w:val="00602E46"/>
    <w:rsid w:val="006138A2"/>
    <w:rsid w:val="00663D93"/>
    <w:rsid w:val="006660C4"/>
    <w:rsid w:val="006E72D3"/>
    <w:rsid w:val="006F7923"/>
    <w:rsid w:val="007053DA"/>
    <w:rsid w:val="007120E8"/>
    <w:rsid w:val="007314BF"/>
    <w:rsid w:val="00737E59"/>
    <w:rsid w:val="00740609"/>
    <w:rsid w:val="007441DC"/>
    <w:rsid w:val="0075237B"/>
    <w:rsid w:val="00772BE2"/>
    <w:rsid w:val="00776F90"/>
    <w:rsid w:val="00793532"/>
    <w:rsid w:val="007D56D3"/>
    <w:rsid w:val="008042A7"/>
    <w:rsid w:val="0085505E"/>
    <w:rsid w:val="008565FB"/>
    <w:rsid w:val="00865132"/>
    <w:rsid w:val="0087320E"/>
    <w:rsid w:val="008A2347"/>
    <w:rsid w:val="008B01F3"/>
    <w:rsid w:val="008C5768"/>
    <w:rsid w:val="008D36BA"/>
    <w:rsid w:val="00923B9C"/>
    <w:rsid w:val="009678D6"/>
    <w:rsid w:val="00995DAB"/>
    <w:rsid w:val="009971BD"/>
    <w:rsid w:val="0099737C"/>
    <w:rsid w:val="009F56AB"/>
    <w:rsid w:val="00A7303D"/>
    <w:rsid w:val="00A90785"/>
    <w:rsid w:val="00AA1393"/>
    <w:rsid w:val="00AD1B74"/>
    <w:rsid w:val="00AD6945"/>
    <w:rsid w:val="00AE6527"/>
    <w:rsid w:val="00B00C7A"/>
    <w:rsid w:val="00B1243D"/>
    <w:rsid w:val="00B24420"/>
    <w:rsid w:val="00B60C39"/>
    <w:rsid w:val="00B7703A"/>
    <w:rsid w:val="00BB74D0"/>
    <w:rsid w:val="00BD307A"/>
    <w:rsid w:val="00BD4655"/>
    <w:rsid w:val="00BD5E07"/>
    <w:rsid w:val="00BD75F3"/>
    <w:rsid w:val="00BF1BF3"/>
    <w:rsid w:val="00C40D48"/>
    <w:rsid w:val="00C65CB8"/>
    <w:rsid w:val="00C73C81"/>
    <w:rsid w:val="00C91C71"/>
    <w:rsid w:val="00CB3EF2"/>
    <w:rsid w:val="00CB593F"/>
    <w:rsid w:val="00CE303C"/>
    <w:rsid w:val="00CE63B8"/>
    <w:rsid w:val="00CE6B95"/>
    <w:rsid w:val="00D01202"/>
    <w:rsid w:val="00D10741"/>
    <w:rsid w:val="00D12260"/>
    <w:rsid w:val="00D47AE5"/>
    <w:rsid w:val="00D50CA3"/>
    <w:rsid w:val="00D84A20"/>
    <w:rsid w:val="00D91E90"/>
    <w:rsid w:val="00DA5673"/>
    <w:rsid w:val="00DB226F"/>
    <w:rsid w:val="00DD1F69"/>
    <w:rsid w:val="00E645FA"/>
    <w:rsid w:val="00E71A93"/>
    <w:rsid w:val="00E7567A"/>
    <w:rsid w:val="00E81087"/>
    <w:rsid w:val="00EA0B06"/>
    <w:rsid w:val="00EA6EE1"/>
    <w:rsid w:val="00EB4FBB"/>
    <w:rsid w:val="00ED216C"/>
    <w:rsid w:val="00EF4A12"/>
    <w:rsid w:val="00F1776C"/>
    <w:rsid w:val="00F20517"/>
    <w:rsid w:val="00F20D20"/>
    <w:rsid w:val="00F32E39"/>
    <w:rsid w:val="00F41548"/>
    <w:rsid w:val="00F43C77"/>
    <w:rsid w:val="00F76BF1"/>
    <w:rsid w:val="00F97F80"/>
    <w:rsid w:val="00FD5F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DD84E"/>
  <w15:chartTrackingRefBased/>
  <w15:docId w15:val="{4B0FF8B8-9AF1-4733-B4F0-643579C0B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887"/>
  </w:style>
  <w:style w:type="paragraph" w:styleId="Heading1">
    <w:name w:val="heading 1"/>
    <w:basedOn w:val="Normal"/>
    <w:next w:val="Normal"/>
    <w:link w:val="Heading1Char"/>
    <w:uiPriority w:val="9"/>
    <w:rsid w:val="00740609"/>
    <w:pPr>
      <w:keepNext/>
      <w:keepLines/>
      <w:spacing w:before="240" w:after="0"/>
      <w:outlineLvl w:val="0"/>
    </w:pPr>
    <w:rPr>
      <w:rFonts w:asciiTheme="majorHAnsi" w:eastAsiaTheme="majorEastAsia" w:hAnsiTheme="majorHAnsi" w:cstheme="majorBidi"/>
      <w:color w:val="1B232A" w:themeColor="text1"/>
      <w:sz w:val="36"/>
      <w:szCs w:val="32"/>
    </w:rPr>
  </w:style>
  <w:style w:type="paragraph" w:styleId="Heading2">
    <w:name w:val="heading 2"/>
    <w:basedOn w:val="Normal"/>
    <w:next w:val="Normal"/>
    <w:link w:val="Heading2Char"/>
    <w:uiPriority w:val="9"/>
    <w:semiHidden/>
    <w:unhideWhenUsed/>
    <w:rsid w:val="00740609"/>
    <w:pPr>
      <w:keepNext/>
      <w:keepLines/>
      <w:spacing w:before="40" w:after="0"/>
      <w:outlineLvl w:val="1"/>
    </w:pPr>
    <w:rPr>
      <w:rFonts w:asciiTheme="majorHAnsi" w:eastAsiaTheme="majorEastAsia" w:hAnsiTheme="majorHAnsi" w:cstheme="majorBidi"/>
      <w:sz w:val="28"/>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441DC"/>
    <w:rPr>
      <w:color w:val="140A9A" w:themeColor="text2"/>
      <w:u w:val="single"/>
    </w:rPr>
  </w:style>
  <w:style w:type="character" w:customStyle="1" w:styleId="Heading1Char">
    <w:name w:val="Heading 1 Char"/>
    <w:basedOn w:val="DefaultParagraphFont"/>
    <w:link w:val="Heading1"/>
    <w:uiPriority w:val="9"/>
    <w:rsid w:val="00740609"/>
    <w:rPr>
      <w:rFonts w:asciiTheme="majorHAnsi" w:eastAsiaTheme="majorEastAsia" w:hAnsiTheme="majorHAnsi" w:cstheme="majorBidi"/>
      <w:color w:val="1B232A" w:themeColor="text1"/>
      <w:sz w:val="36"/>
      <w:szCs w:val="32"/>
    </w:rPr>
  </w:style>
  <w:style w:type="paragraph" w:styleId="BalloonText">
    <w:name w:val="Balloon Text"/>
    <w:basedOn w:val="Normal"/>
    <w:link w:val="BalloonTextChar"/>
    <w:uiPriority w:val="99"/>
    <w:semiHidden/>
    <w:unhideWhenUsed/>
    <w:rsid w:val="008A23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347"/>
    <w:rPr>
      <w:rFonts w:ascii="Segoe UI" w:hAnsi="Segoe UI" w:cs="Segoe UI"/>
      <w:sz w:val="18"/>
      <w:szCs w:val="18"/>
    </w:rPr>
  </w:style>
  <w:style w:type="character" w:styleId="CommentReference">
    <w:name w:val="annotation reference"/>
    <w:basedOn w:val="DefaultParagraphFont"/>
    <w:uiPriority w:val="99"/>
    <w:semiHidden/>
    <w:unhideWhenUsed/>
    <w:rsid w:val="000C5EA5"/>
    <w:rPr>
      <w:sz w:val="16"/>
      <w:szCs w:val="16"/>
    </w:rPr>
  </w:style>
  <w:style w:type="paragraph" w:styleId="CommentText">
    <w:name w:val="annotation text"/>
    <w:basedOn w:val="Normal"/>
    <w:link w:val="CommentTextChar"/>
    <w:uiPriority w:val="99"/>
    <w:semiHidden/>
    <w:unhideWhenUsed/>
    <w:rsid w:val="000C5EA5"/>
    <w:pPr>
      <w:spacing w:line="240" w:lineRule="auto"/>
    </w:pPr>
    <w:rPr>
      <w:sz w:val="20"/>
      <w:szCs w:val="20"/>
    </w:rPr>
  </w:style>
  <w:style w:type="character" w:customStyle="1" w:styleId="CommentTextChar">
    <w:name w:val="Comment Text Char"/>
    <w:basedOn w:val="DefaultParagraphFont"/>
    <w:link w:val="CommentText"/>
    <w:uiPriority w:val="99"/>
    <w:semiHidden/>
    <w:rsid w:val="000C5EA5"/>
    <w:rPr>
      <w:sz w:val="20"/>
      <w:szCs w:val="20"/>
    </w:rPr>
  </w:style>
  <w:style w:type="paragraph" w:styleId="CommentSubject">
    <w:name w:val="annotation subject"/>
    <w:basedOn w:val="CommentText"/>
    <w:next w:val="CommentText"/>
    <w:link w:val="CommentSubjectChar"/>
    <w:uiPriority w:val="99"/>
    <w:semiHidden/>
    <w:unhideWhenUsed/>
    <w:rsid w:val="000C5EA5"/>
    <w:rPr>
      <w:b/>
      <w:bCs/>
    </w:rPr>
  </w:style>
  <w:style w:type="character" w:customStyle="1" w:styleId="CommentSubjectChar">
    <w:name w:val="Comment Subject Char"/>
    <w:basedOn w:val="CommentTextChar"/>
    <w:link w:val="CommentSubject"/>
    <w:uiPriority w:val="99"/>
    <w:semiHidden/>
    <w:rsid w:val="000C5EA5"/>
    <w:rPr>
      <w:b/>
      <w:bCs/>
      <w:sz w:val="20"/>
      <w:szCs w:val="20"/>
    </w:rPr>
  </w:style>
  <w:style w:type="paragraph" w:styleId="ListParagraph">
    <w:name w:val="List Paragraph"/>
    <w:basedOn w:val="Normal"/>
    <w:uiPriority w:val="34"/>
    <w:rsid w:val="00EF4A12"/>
    <w:pPr>
      <w:spacing w:after="0" w:line="240" w:lineRule="auto"/>
      <w:ind w:left="720"/>
    </w:pPr>
    <w:rPr>
      <w:rFonts w:ascii="Calibri" w:eastAsiaTheme="minorEastAsia" w:hAnsi="Calibri" w:cs="Times New Roman"/>
      <w:lang w:eastAsia="zh-CN"/>
    </w:rPr>
  </w:style>
  <w:style w:type="paragraph" w:customStyle="1" w:styleId="Headline">
    <w:name w:val="Headline"/>
    <w:basedOn w:val="Normal"/>
    <w:qFormat/>
    <w:rsid w:val="00740609"/>
    <w:pPr>
      <w:spacing w:after="0" w:line="240" w:lineRule="auto"/>
      <w:jc w:val="center"/>
    </w:pPr>
    <w:rPr>
      <w:rFonts w:ascii="Arial" w:hAnsi="Arial" w:cs="Arial"/>
      <w:b/>
      <w:sz w:val="28"/>
      <w:szCs w:val="28"/>
    </w:rPr>
  </w:style>
  <w:style w:type="paragraph" w:customStyle="1" w:styleId="Subhead">
    <w:name w:val="Subhead"/>
    <w:basedOn w:val="Normal"/>
    <w:qFormat/>
    <w:rsid w:val="00740609"/>
    <w:pPr>
      <w:spacing w:after="0"/>
      <w:jc w:val="center"/>
    </w:pPr>
    <w:rPr>
      <w:rFonts w:ascii="Arial" w:hAnsi="Arial" w:cs="Arial"/>
      <w:i/>
    </w:rPr>
  </w:style>
  <w:style w:type="paragraph" w:styleId="Subtitle">
    <w:name w:val="Subtitle"/>
    <w:basedOn w:val="Normal"/>
    <w:next w:val="Normal"/>
    <w:link w:val="SubtitleChar"/>
    <w:uiPriority w:val="11"/>
    <w:rsid w:val="00740609"/>
    <w:pPr>
      <w:numPr>
        <w:ilvl w:val="1"/>
      </w:numPr>
    </w:pPr>
    <w:rPr>
      <w:rFonts w:eastAsiaTheme="minorEastAsia"/>
      <w:b/>
      <w:color w:val="1B232A" w:themeColor="text1"/>
      <w:spacing w:val="15"/>
    </w:rPr>
  </w:style>
  <w:style w:type="character" w:customStyle="1" w:styleId="SubtitleChar">
    <w:name w:val="Subtitle Char"/>
    <w:basedOn w:val="DefaultParagraphFont"/>
    <w:link w:val="Subtitle"/>
    <w:uiPriority w:val="11"/>
    <w:rsid w:val="00740609"/>
    <w:rPr>
      <w:rFonts w:eastAsiaTheme="minorEastAsia"/>
      <w:b/>
      <w:color w:val="1B232A" w:themeColor="text1"/>
      <w:spacing w:val="15"/>
    </w:rPr>
  </w:style>
  <w:style w:type="character" w:customStyle="1" w:styleId="Heading2Char">
    <w:name w:val="Heading 2 Char"/>
    <w:basedOn w:val="DefaultParagraphFont"/>
    <w:link w:val="Heading2"/>
    <w:uiPriority w:val="9"/>
    <w:semiHidden/>
    <w:rsid w:val="00740609"/>
    <w:rPr>
      <w:rFonts w:asciiTheme="majorHAnsi" w:eastAsiaTheme="majorEastAsia" w:hAnsiTheme="majorHAnsi" w:cstheme="majorBidi"/>
      <w:sz w:val="28"/>
      <w:szCs w:val="26"/>
    </w:rPr>
  </w:style>
  <w:style w:type="paragraph" w:styleId="Title">
    <w:name w:val="Title"/>
    <w:basedOn w:val="Normal"/>
    <w:next w:val="Normal"/>
    <w:link w:val="TitleChar"/>
    <w:uiPriority w:val="10"/>
    <w:rsid w:val="0074060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0609"/>
    <w:rPr>
      <w:rFonts w:asciiTheme="majorHAnsi" w:eastAsiaTheme="majorEastAsia" w:hAnsiTheme="majorHAnsi" w:cstheme="majorBidi"/>
      <w:spacing w:val="-10"/>
      <w:kern w:val="28"/>
      <w:sz w:val="56"/>
      <w:szCs w:val="56"/>
    </w:rPr>
  </w:style>
  <w:style w:type="character" w:styleId="SubtleEmphasis">
    <w:name w:val="Subtle Emphasis"/>
    <w:basedOn w:val="DefaultParagraphFont"/>
    <w:uiPriority w:val="19"/>
    <w:rsid w:val="00740609"/>
    <w:rPr>
      <w:i/>
      <w:iCs/>
      <w:color w:val="A5ABAF" w:themeColor="accent1"/>
    </w:rPr>
  </w:style>
  <w:style w:type="character" w:styleId="Emphasis">
    <w:name w:val="Emphasis"/>
    <w:basedOn w:val="DefaultParagraphFont"/>
    <w:uiPriority w:val="20"/>
    <w:qFormat/>
    <w:rsid w:val="00740609"/>
    <w:rPr>
      <w:i/>
      <w:iCs/>
    </w:rPr>
  </w:style>
  <w:style w:type="character" w:styleId="IntenseEmphasis">
    <w:name w:val="Intense Emphasis"/>
    <w:basedOn w:val="DefaultParagraphFont"/>
    <w:uiPriority w:val="21"/>
    <w:qFormat/>
    <w:rsid w:val="00740609"/>
    <w:rPr>
      <w:i/>
      <w:iCs/>
      <w:color w:val="140A9A" w:themeColor="text2"/>
    </w:rPr>
  </w:style>
  <w:style w:type="paragraph" w:styleId="Quote">
    <w:name w:val="Quote"/>
    <w:basedOn w:val="Normal"/>
    <w:next w:val="Normal"/>
    <w:link w:val="QuoteChar"/>
    <w:uiPriority w:val="29"/>
    <w:rsid w:val="00740609"/>
    <w:pPr>
      <w:spacing w:before="200"/>
      <w:ind w:left="864" w:right="864"/>
      <w:jc w:val="center"/>
    </w:pPr>
    <w:rPr>
      <w:i/>
      <w:iCs/>
      <w:color w:val="A5ABAF" w:themeColor="accent1"/>
    </w:rPr>
  </w:style>
  <w:style w:type="character" w:customStyle="1" w:styleId="QuoteChar">
    <w:name w:val="Quote Char"/>
    <w:basedOn w:val="DefaultParagraphFont"/>
    <w:link w:val="Quote"/>
    <w:uiPriority w:val="29"/>
    <w:rsid w:val="00740609"/>
    <w:rPr>
      <w:i/>
      <w:iCs/>
      <w:color w:val="A5ABAF" w:themeColor="accent1"/>
    </w:rPr>
  </w:style>
  <w:style w:type="paragraph" w:styleId="IntenseQuote">
    <w:name w:val="Intense Quote"/>
    <w:basedOn w:val="Normal"/>
    <w:next w:val="Normal"/>
    <w:link w:val="IntenseQuoteChar"/>
    <w:uiPriority w:val="30"/>
    <w:rsid w:val="00740609"/>
    <w:pPr>
      <w:pBdr>
        <w:top w:val="single" w:sz="4" w:space="10" w:color="A5ABAF" w:themeColor="accent1"/>
        <w:bottom w:val="single" w:sz="4" w:space="10" w:color="A5ABAF" w:themeColor="accent1"/>
      </w:pBdr>
      <w:spacing w:before="360" w:after="360"/>
      <w:ind w:left="864" w:right="864"/>
      <w:jc w:val="center"/>
    </w:pPr>
    <w:rPr>
      <w:i/>
      <w:iCs/>
      <w:color w:val="140A9A" w:themeColor="text2"/>
    </w:rPr>
  </w:style>
  <w:style w:type="character" w:customStyle="1" w:styleId="IntenseQuoteChar">
    <w:name w:val="Intense Quote Char"/>
    <w:basedOn w:val="DefaultParagraphFont"/>
    <w:link w:val="IntenseQuote"/>
    <w:uiPriority w:val="30"/>
    <w:rsid w:val="00740609"/>
    <w:rPr>
      <w:i/>
      <w:iCs/>
      <w:color w:val="140A9A" w:themeColor="text2"/>
    </w:rPr>
  </w:style>
  <w:style w:type="character" w:styleId="SubtleReference">
    <w:name w:val="Subtle Reference"/>
    <w:basedOn w:val="DefaultParagraphFont"/>
    <w:uiPriority w:val="31"/>
    <w:rsid w:val="00740609"/>
    <w:rPr>
      <w:caps w:val="0"/>
      <w:smallCaps w:val="0"/>
      <w:color w:val="A5ABAF" w:themeColor="accent1"/>
    </w:rPr>
  </w:style>
  <w:style w:type="character" w:styleId="IntenseReference">
    <w:name w:val="Intense Reference"/>
    <w:basedOn w:val="DefaultParagraphFont"/>
    <w:uiPriority w:val="32"/>
    <w:rsid w:val="00740609"/>
    <w:rPr>
      <w:b/>
      <w:bCs/>
      <w:caps w:val="0"/>
      <w:smallCaps w:val="0"/>
      <w:color w:val="A5ABAF" w:themeColor="accent1"/>
      <w:spacing w:val="5"/>
    </w:rPr>
  </w:style>
  <w:style w:type="character" w:styleId="BookTitle">
    <w:name w:val="Book Title"/>
    <w:basedOn w:val="DefaultParagraphFont"/>
    <w:uiPriority w:val="33"/>
    <w:rsid w:val="00740609"/>
    <w:rPr>
      <w:b/>
      <w:bCs/>
      <w:i/>
      <w:iCs/>
      <w:spacing w:val="5"/>
    </w:rPr>
  </w:style>
  <w:style w:type="paragraph" w:styleId="Header">
    <w:name w:val="header"/>
    <w:basedOn w:val="Normal"/>
    <w:link w:val="HeaderChar"/>
    <w:uiPriority w:val="99"/>
    <w:unhideWhenUsed/>
    <w:rsid w:val="008732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87320E"/>
  </w:style>
  <w:style w:type="paragraph" w:customStyle="1" w:styleId="Default">
    <w:name w:val="Default"/>
    <w:rsid w:val="001E4D1F"/>
    <w:pPr>
      <w:widowControl w:val="0"/>
      <w:autoSpaceDE w:val="0"/>
      <w:autoSpaceDN w:val="0"/>
      <w:adjustRightInd w:val="0"/>
      <w:spacing w:after="0" w:line="240" w:lineRule="auto"/>
    </w:pPr>
    <w:rPr>
      <w:rFonts w:ascii="Times New Roman" w:eastAsia="MS Mincho" w:hAnsi="Times New Roman" w:cs="Times New Roman"/>
      <w:color w:val="000000"/>
      <w:sz w:val="24"/>
      <w:szCs w:val="24"/>
      <w:lang w:eastAsia="ja-JP"/>
    </w:rPr>
  </w:style>
  <w:style w:type="paragraph" w:styleId="BodyText">
    <w:name w:val="Body Text"/>
    <w:basedOn w:val="Normal"/>
    <w:link w:val="BodyTextChar"/>
    <w:uiPriority w:val="99"/>
    <w:semiHidden/>
    <w:unhideWhenUsed/>
    <w:rsid w:val="001E4D1F"/>
    <w:pPr>
      <w:spacing w:after="120" w:line="240" w:lineRule="auto"/>
    </w:pPr>
    <w:rPr>
      <w:rFonts w:ascii="Calibri" w:hAnsi="Calibri" w:cs="Calibri"/>
    </w:rPr>
  </w:style>
  <w:style w:type="character" w:customStyle="1" w:styleId="BodyTextChar">
    <w:name w:val="Body Text Char"/>
    <w:basedOn w:val="DefaultParagraphFont"/>
    <w:link w:val="BodyText"/>
    <w:uiPriority w:val="99"/>
    <w:semiHidden/>
    <w:rsid w:val="001E4D1F"/>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747209">
      <w:bodyDiv w:val="1"/>
      <w:marLeft w:val="0"/>
      <w:marRight w:val="0"/>
      <w:marTop w:val="0"/>
      <w:marBottom w:val="0"/>
      <w:divBdr>
        <w:top w:val="none" w:sz="0" w:space="0" w:color="auto"/>
        <w:left w:val="none" w:sz="0" w:space="0" w:color="auto"/>
        <w:bottom w:val="none" w:sz="0" w:space="0" w:color="auto"/>
        <w:right w:val="none" w:sz="0" w:space="0" w:color="auto"/>
      </w:divBdr>
    </w:div>
    <w:div w:id="159378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ushu.wu@komatsu.eu"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Komatsu_doc">
  <a:themeElements>
    <a:clrScheme name="Komatsu">
      <a:dk1>
        <a:srgbClr val="1B232A"/>
      </a:dk1>
      <a:lt1>
        <a:sysClr val="window" lastClr="FFFFFF"/>
      </a:lt1>
      <a:dk2>
        <a:srgbClr val="140A9A"/>
      </a:dk2>
      <a:lt2>
        <a:srgbClr val="00A7E1"/>
      </a:lt2>
      <a:accent1>
        <a:srgbClr val="A5ABAF"/>
      </a:accent1>
      <a:accent2>
        <a:srgbClr val="FFC82F"/>
      </a:accent2>
      <a:accent3>
        <a:srgbClr val="99CCFF"/>
      </a:accent3>
      <a:accent4>
        <a:srgbClr val="FF0000"/>
      </a:accent4>
      <a:accent5>
        <a:srgbClr val="2BB673"/>
      </a:accent5>
      <a:accent6>
        <a:srgbClr val="F37021"/>
      </a:accent6>
      <a:hlink>
        <a:srgbClr val="00A7E1"/>
      </a:hlink>
      <a:folHlink>
        <a:srgbClr val="6E757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A73538AB077E46819BEBC6E8C97575" ma:contentTypeVersion="13" ma:contentTypeDescription="Create a new document." ma:contentTypeScope="" ma:versionID="50d4fd1e0aff3562b5a16671ea57c2a9">
  <xsd:schema xmlns:xsd="http://www.w3.org/2001/XMLSchema" xmlns:xs="http://www.w3.org/2001/XMLSchema" xmlns:p="http://schemas.microsoft.com/office/2006/metadata/properties" xmlns:ns3="feaf030b-c1b2-4f86-8503-521a748fbe6f" xmlns:ns4="fe3736d2-219c-48d4-9446-ef8480f420b2" targetNamespace="http://schemas.microsoft.com/office/2006/metadata/properties" ma:root="true" ma:fieldsID="c4acb76227373c9eb09f27e433262787" ns3:_="" ns4:_="">
    <xsd:import namespace="feaf030b-c1b2-4f86-8503-521a748fbe6f"/>
    <xsd:import namespace="fe3736d2-219c-48d4-9446-ef8480f420b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4:SharedWithUsers" minOccurs="0"/>
                <xsd:element ref="ns4:SharedWithDetails" minOccurs="0"/>
                <xsd:element ref="ns4:SharingHintHash"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af030b-c1b2-4f86-8503-521a748fbe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3736d2-219c-48d4-9446-ef8480f420b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0F4DEF-75C1-40E5-8E59-A258E7666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af030b-c1b2-4f86-8503-521a748fbe6f"/>
    <ds:schemaRef ds:uri="fe3736d2-219c-48d4-9446-ef8480f420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7BDE2-BFB9-4845-A1C1-CB00A3F29053}">
  <ds:schemaRefs>
    <ds:schemaRef ds:uri="http://schemas.microsoft.com/sharepoint/v3/contenttype/forms"/>
  </ds:schemaRefs>
</ds:datastoreItem>
</file>

<file path=customXml/itemProps3.xml><?xml version="1.0" encoding="utf-8"?>
<ds:datastoreItem xmlns:ds="http://schemas.openxmlformats.org/officeDocument/2006/customXml" ds:itemID="{9BE00F83-5A3C-4909-B753-92B64EAD78A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34892e5-f1bf-4de3-821b-0faa98b172a4}" enabled="1" method="Standard" siteId="{000f99b4-4d5c-4fe0-83b1-a1254876c5ec}"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1154</Words>
  <Characters>6348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Komatsu Ameica Corp</Company>
  <LinksUpToDate>false</LinksUpToDate>
  <CharactersWithSpaces>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Raleigh Floyd Jr.</dc:creator>
  <cp:keywords/>
  <dc:description/>
  <cp:lastModifiedBy>Chushu Wu</cp:lastModifiedBy>
  <cp:revision>10</cp:revision>
  <cp:lastPrinted>2016-12-09T19:40:00Z</cp:lastPrinted>
  <dcterms:created xsi:type="dcterms:W3CDTF">2021-02-19T13:29:00Z</dcterms:created>
  <dcterms:modified xsi:type="dcterms:W3CDTF">2026-09-04T10:29:00Z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0x01010032A73538AB077E46819BEBC6E8C97575</vt:lpwstr>
  </property>
  <property fmtid="{D5CDD505-2E9C-101B-9397-08002B2CF9AE}" pid="3" name="ClassificationContentMarkingHeaderShapeIds">
    <vt:lpwstr>729984e2,7af2f666,6c390ca1</vt:lpwstr>
  </property>
  <property fmtid="{D5CDD505-2E9C-101B-9397-08002B2CF9AE}" pid="4" name="ClassificationContentMarkingHeaderFontProps">
    <vt:lpwstr>#0000ff,10,Aptos</vt:lpwstr>
  </property>
  <property fmtid="{D5CDD505-2E9C-101B-9397-08002B2CF9AE}" pid="5" name="ClassificationContentMarkingHeaderText">
    <vt:lpwstr>Public</vt:lpwstr>
  </property>
</Properties>
</file>